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center"/>
        <w:rPr>
          <w:rFonts w:ascii="方正小标宋简体" w:hAns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/>
          <w:b/>
          <w:bCs/>
          <w:sz w:val="44"/>
          <w:szCs w:val="44"/>
        </w:rPr>
        <w:t>辽沈银行资本充足率信息披露报告</w:t>
      </w:r>
    </w:p>
    <w:p>
      <w:pPr>
        <w:spacing w:line="578" w:lineRule="exact"/>
        <w:jc w:val="center"/>
        <w:rPr>
          <w:rFonts w:ascii="方正小标宋简体" w:hAns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/>
          <w:b/>
          <w:bCs/>
          <w:sz w:val="44"/>
          <w:szCs w:val="44"/>
        </w:rPr>
        <w:t>（2023年上半年）</w:t>
      </w:r>
    </w:p>
    <w:p>
      <w:pPr>
        <w:spacing w:line="578" w:lineRule="exact"/>
        <w:rPr>
          <w:rFonts w:ascii="仿宋" w:hAnsi="仿宋" w:eastAsia="仿宋"/>
          <w:sz w:val="32"/>
          <w:szCs w:val="32"/>
        </w:rPr>
      </w:pPr>
    </w:p>
    <w:p>
      <w:pPr>
        <w:pStyle w:val="5"/>
        <w:spacing w:line="578" w:lineRule="exact"/>
        <w:ind w:firstLine="640"/>
        <w:rPr>
          <w:rFonts w:hint="eastAsia" w:ascii="方正仿宋简体" w:hAnsi="方正仿宋简体" w:eastAsia="方正仿宋简体" w:cs="仿宋_GB2312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仿宋_GB2312"/>
          <w:sz w:val="32"/>
          <w:szCs w:val="32"/>
          <w:lang w:bidi="ar"/>
        </w:rPr>
        <w:t>根据《商业银行资本管理办法（试行）》</w:t>
      </w:r>
      <w:r>
        <w:rPr>
          <w:rFonts w:ascii="方正仿宋简体" w:hAnsi="方正仿宋简体" w:eastAsia="方正仿宋简体" w:cs="仿宋_GB2312"/>
          <w:sz w:val="32"/>
          <w:szCs w:val="32"/>
          <w:lang w:bidi="ar"/>
        </w:rPr>
        <w:t>（</w:t>
      </w:r>
      <w:r>
        <w:rPr>
          <w:rFonts w:hint="eastAsia" w:ascii="方正仿宋简体" w:hAnsi="方正仿宋简体" w:eastAsia="方正仿宋简体" w:cs="仿宋_GB2312"/>
          <w:sz w:val="32"/>
          <w:szCs w:val="32"/>
          <w:lang w:bidi="ar"/>
        </w:rPr>
        <w:t>中国银行业监督管理委员会令</w:t>
      </w:r>
      <w:r>
        <w:rPr>
          <w:rFonts w:ascii="方正仿宋简体" w:hAnsi="方正仿宋简体" w:eastAsia="方正仿宋简体" w:cs="仿宋_GB2312"/>
          <w:sz w:val="32"/>
          <w:szCs w:val="32"/>
          <w:lang w:bidi="ar"/>
        </w:rPr>
        <w:t>〔2012〕1号）</w:t>
      </w:r>
      <w:r>
        <w:rPr>
          <w:rFonts w:hint="eastAsia" w:ascii="方正仿宋简体" w:hAnsi="方正仿宋简体" w:eastAsia="方正仿宋简体" w:cs="仿宋_GB2312"/>
          <w:sz w:val="32"/>
          <w:szCs w:val="32"/>
          <w:lang w:bidi="ar"/>
        </w:rPr>
        <w:t>相关规定要求，本行现就2023年上半年资本充足率相关信息披露如下。</w:t>
      </w:r>
    </w:p>
    <w:p>
      <w:pPr>
        <w:spacing w:line="578" w:lineRule="exact"/>
        <w:ind w:firstLine="640" w:firstLineChars="200"/>
        <w:rPr>
          <w:rFonts w:ascii="方正黑体简体" w:hAnsi="方正黑体简体" w:eastAsia="方正黑体简体" w:cs="黑体"/>
          <w:sz w:val="32"/>
          <w:szCs w:val="32"/>
        </w:rPr>
      </w:pPr>
      <w:r>
        <w:rPr>
          <w:rFonts w:hint="eastAsia" w:ascii="方正黑体简体" w:hAnsi="方正黑体简体" w:eastAsia="方正黑体简体" w:cs="黑体"/>
          <w:sz w:val="32"/>
          <w:szCs w:val="32"/>
          <w:lang w:bidi="ar"/>
        </w:rPr>
        <w:t>一、资本充足率管理的监管要求</w:t>
      </w:r>
    </w:p>
    <w:p>
      <w:pPr>
        <w:spacing w:line="578" w:lineRule="exact"/>
        <w:ind w:firstLine="640" w:firstLineChars="200"/>
        <w:rPr>
          <w:rFonts w:ascii="方正仿宋简体" w:hAnsi="方正仿宋简体" w:eastAsia="方正仿宋简体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根据《商业银行资本管理办法(试行)》，我行适行最低要求如下</w:t>
      </w:r>
      <w:r>
        <w:rPr>
          <w:rFonts w:hint="eastAsia" w:ascii="方正仿宋简体" w:hAnsi="方正仿宋简体" w:eastAsia="方正仿宋简体" w:cs="仿宋_GB2312"/>
          <w:sz w:val="32"/>
          <w:szCs w:val="32"/>
          <w:lang w:bidi="ar"/>
        </w:rPr>
        <w:t>：（1）核心一级资本充足率不得低于7.5%；（2）一级资本充足率不得低于8.5%；（3）资本充足率不得低于10.5%。</w:t>
      </w:r>
    </w:p>
    <w:p>
      <w:pPr>
        <w:spacing w:line="578" w:lineRule="exact"/>
        <w:ind w:firstLine="640" w:firstLineChars="200"/>
        <w:rPr>
          <w:rFonts w:ascii="方正黑体简体" w:hAnsi="方正黑体简体" w:eastAsia="方正黑体简体" w:cs="黑体"/>
          <w:sz w:val="32"/>
          <w:szCs w:val="32"/>
          <w:lang w:bidi="ar"/>
        </w:rPr>
      </w:pPr>
      <w:r>
        <w:rPr>
          <w:rFonts w:hint="eastAsia" w:ascii="方正黑体简体" w:hAnsi="方正黑体简体" w:eastAsia="方正黑体简体" w:cs="黑体"/>
          <w:sz w:val="32"/>
          <w:szCs w:val="32"/>
          <w:lang w:bidi="ar"/>
        </w:rPr>
        <w:t>二、资本充足情况</w:t>
      </w:r>
    </w:p>
    <w:p>
      <w:pPr>
        <w:spacing w:line="578" w:lineRule="exact"/>
        <w:ind w:firstLine="640" w:firstLineChars="200"/>
        <w:rPr>
          <w:rFonts w:ascii="方正仿宋简体" w:hAnsi="方正仿宋简体" w:eastAsia="方正仿宋简体" w:cs="仿宋_GB2312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仿宋_GB2312"/>
          <w:sz w:val="32"/>
          <w:szCs w:val="32"/>
          <w:lang w:bidi="ar"/>
        </w:rPr>
        <w:t>根据中国银监会《商业银行资本管理办法（试行）》</w:t>
      </w:r>
      <w:r>
        <w:rPr>
          <w:rFonts w:ascii="方正仿宋简体" w:hAnsi="方正仿宋简体" w:eastAsia="方正仿宋简体" w:cs="仿宋_GB2312"/>
          <w:sz w:val="32"/>
          <w:szCs w:val="32"/>
          <w:lang w:bidi="ar"/>
        </w:rPr>
        <w:t>（</w:t>
      </w:r>
      <w:r>
        <w:rPr>
          <w:rFonts w:hint="eastAsia" w:ascii="方正仿宋简体" w:hAnsi="方正仿宋简体" w:eastAsia="方正仿宋简体" w:cs="仿宋_GB2312"/>
          <w:sz w:val="32"/>
          <w:szCs w:val="32"/>
          <w:lang w:bidi="ar"/>
        </w:rPr>
        <w:t>中国银行业监督管理委员会令</w:t>
      </w:r>
      <w:r>
        <w:rPr>
          <w:rFonts w:ascii="方正仿宋简体" w:hAnsi="方正仿宋简体" w:eastAsia="方正仿宋简体" w:cs="仿宋_GB2312"/>
          <w:sz w:val="32"/>
          <w:szCs w:val="32"/>
          <w:lang w:bidi="ar"/>
        </w:rPr>
        <w:t>〔2012〕1号）</w:t>
      </w:r>
      <w:r>
        <w:rPr>
          <w:rFonts w:hint="eastAsia" w:ascii="方正仿宋简体" w:hAnsi="方正仿宋简体" w:eastAsia="方正仿宋简体" w:cs="仿宋_GB2312"/>
          <w:sz w:val="32"/>
          <w:szCs w:val="32"/>
          <w:lang w:bidi="ar"/>
        </w:rPr>
        <w:t>相关规定，本行信用风险采用权重法计量资本要求，市场风险采用标准法，操作风险采用基本指标法。本行对外披露资本充足率信息采用并表口径，含辽沈银行单体和所辖三家村镇银行。</w:t>
      </w:r>
    </w:p>
    <w:p>
      <w:pPr>
        <w:spacing w:line="578" w:lineRule="exact"/>
        <w:ind w:firstLine="640" w:firstLineChars="200"/>
        <w:rPr>
          <w:rFonts w:ascii="方正楷体简体" w:hAnsi="方正楷体简体" w:eastAsia="方正楷体简体" w:cs="仿宋_GB2312"/>
          <w:sz w:val="32"/>
          <w:szCs w:val="32"/>
          <w:lang w:bidi="ar"/>
        </w:rPr>
      </w:pPr>
      <w:r>
        <w:rPr>
          <w:rFonts w:hint="eastAsia" w:ascii="方正楷体简体" w:hAnsi="方正楷体简体" w:eastAsia="方正楷体简体" w:cs="仿宋_GB2312"/>
          <w:sz w:val="32"/>
          <w:szCs w:val="32"/>
          <w:lang w:bidi="ar"/>
        </w:rPr>
        <w:t>（一）当期资本充足情况</w:t>
      </w:r>
    </w:p>
    <w:p>
      <w:pPr>
        <w:spacing w:line="578" w:lineRule="exact"/>
        <w:ind w:firstLine="640" w:firstLineChars="200"/>
        <w:rPr>
          <w:rFonts w:ascii="方正仿宋简体" w:hAnsi="方正仿宋简体" w:eastAsia="方正仿宋简体" w:cs="仿宋_GB2312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仿宋_GB2312"/>
          <w:sz w:val="32"/>
          <w:szCs w:val="32"/>
          <w:lang w:bidi="ar"/>
        </w:rPr>
        <w:t>截至报告期末，本行合并口径（未经审计）核心一级资本净额为</w:t>
      </w:r>
      <w:r>
        <w:rPr>
          <w:rFonts w:hint="eastAsia" w:ascii="方正仿宋简体" w:hAnsi="方正仿宋简体" w:eastAsia="方正仿宋简体" w:cs="仿宋_GB2312"/>
          <w:sz w:val="32"/>
          <w:szCs w:val="32"/>
          <w:lang w:val="en-US" w:eastAsia="zh-CN" w:bidi="ar"/>
        </w:rPr>
        <w:t>155.97</w:t>
      </w:r>
      <w:r>
        <w:rPr>
          <w:rFonts w:hint="eastAsia" w:ascii="方正仿宋简体" w:hAnsi="方正仿宋简体" w:eastAsia="方正仿宋简体" w:cs="仿宋_GB2312"/>
          <w:sz w:val="32"/>
          <w:szCs w:val="32"/>
          <w:lang w:bidi="ar"/>
        </w:rPr>
        <w:t>亿元，一级资本净额为</w:t>
      </w:r>
      <w:r>
        <w:rPr>
          <w:rFonts w:hint="eastAsia" w:ascii="方正仿宋简体" w:hAnsi="方正仿宋简体" w:eastAsia="方正仿宋简体" w:cs="仿宋_GB2312"/>
          <w:sz w:val="32"/>
          <w:szCs w:val="32"/>
          <w:lang w:val="en-US" w:eastAsia="zh-CN" w:bidi="ar"/>
        </w:rPr>
        <w:t>155.97</w:t>
      </w:r>
      <w:r>
        <w:rPr>
          <w:rFonts w:hint="eastAsia" w:ascii="方正仿宋简体" w:hAnsi="方正仿宋简体" w:eastAsia="方正仿宋简体" w:cs="仿宋_GB2312"/>
          <w:sz w:val="32"/>
          <w:szCs w:val="32"/>
          <w:lang w:bidi="ar"/>
        </w:rPr>
        <w:t>亿元，资本净额为</w:t>
      </w:r>
      <w:r>
        <w:rPr>
          <w:rFonts w:hint="eastAsia" w:ascii="方正仿宋简体" w:hAnsi="方正仿宋简体" w:eastAsia="方正仿宋简体" w:cs="仿宋_GB2312"/>
          <w:sz w:val="32"/>
          <w:szCs w:val="32"/>
          <w:lang w:val="en-US" w:eastAsia="zh-CN" w:bidi="ar"/>
        </w:rPr>
        <w:t>182.01</w:t>
      </w:r>
      <w:r>
        <w:rPr>
          <w:rFonts w:hint="eastAsia" w:ascii="方正仿宋简体" w:hAnsi="方正仿宋简体" w:eastAsia="方正仿宋简体" w:cs="仿宋_GB2312"/>
          <w:sz w:val="32"/>
          <w:szCs w:val="32"/>
          <w:lang w:bidi="ar"/>
        </w:rPr>
        <w:t>亿元，风险加权资产为924.</w:t>
      </w:r>
      <w:r>
        <w:rPr>
          <w:rFonts w:hint="eastAsia" w:ascii="方正仿宋简体" w:hAnsi="方正仿宋简体" w:eastAsia="方正仿宋简体" w:cs="仿宋_GB2312"/>
          <w:sz w:val="32"/>
          <w:szCs w:val="32"/>
          <w:lang w:val="en-US" w:eastAsia="zh-CN" w:bidi="ar"/>
        </w:rPr>
        <w:t>23</w:t>
      </w:r>
      <w:r>
        <w:rPr>
          <w:rFonts w:hint="eastAsia" w:ascii="方正仿宋简体" w:hAnsi="方正仿宋简体" w:eastAsia="方正仿宋简体" w:cs="仿宋_GB2312"/>
          <w:sz w:val="32"/>
          <w:szCs w:val="32"/>
          <w:lang w:bidi="ar"/>
        </w:rPr>
        <w:t>亿元，核心一级资本充足率16.8</w:t>
      </w:r>
      <w:r>
        <w:rPr>
          <w:rFonts w:hint="eastAsia" w:ascii="方正仿宋简体" w:hAnsi="方正仿宋简体" w:eastAsia="方正仿宋简体" w:cs="仿宋_GB2312"/>
          <w:sz w:val="32"/>
          <w:szCs w:val="32"/>
          <w:lang w:val="en-US" w:eastAsia="zh-CN" w:bidi="ar"/>
        </w:rPr>
        <w:t>8</w:t>
      </w:r>
      <w:r>
        <w:rPr>
          <w:rFonts w:hint="eastAsia" w:ascii="方正仿宋简体" w:hAnsi="方正仿宋简体" w:eastAsia="方正仿宋简体" w:cs="仿宋_GB2312"/>
          <w:sz w:val="32"/>
          <w:szCs w:val="32"/>
          <w:lang w:bidi="ar"/>
        </w:rPr>
        <w:t>%，一级资本充足率16.8</w:t>
      </w:r>
      <w:r>
        <w:rPr>
          <w:rFonts w:hint="eastAsia" w:ascii="方正仿宋简体" w:hAnsi="方正仿宋简体" w:eastAsia="方正仿宋简体" w:cs="仿宋_GB2312"/>
          <w:sz w:val="32"/>
          <w:szCs w:val="32"/>
          <w:lang w:val="en-US" w:eastAsia="zh-CN" w:bidi="ar"/>
        </w:rPr>
        <w:t>8</w:t>
      </w:r>
      <w:r>
        <w:rPr>
          <w:rFonts w:hint="eastAsia" w:ascii="方正仿宋简体" w:hAnsi="方正仿宋简体" w:eastAsia="方正仿宋简体" w:cs="仿宋_GB2312"/>
          <w:sz w:val="32"/>
          <w:szCs w:val="32"/>
          <w:lang w:bidi="ar"/>
        </w:rPr>
        <w:t>%，资本充足率19.</w:t>
      </w:r>
      <w:r>
        <w:rPr>
          <w:rFonts w:hint="eastAsia" w:ascii="方正仿宋简体" w:hAnsi="方正仿宋简体" w:eastAsia="方正仿宋简体" w:cs="仿宋_GB2312"/>
          <w:sz w:val="32"/>
          <w:szCs w:val="32"/>
          <w:lang w:val="en-US" w:eastAsia="zh-CN" w:bidi="ar"/>
        </w:rPr>
        <w:t>69</w:t>
      </w:r>
      <w:r>
        <w:rPr>
          <w:rFonts w:hint="eastAsia" w:ascii="方正仿宋简体" w:hAnsi="方正仿宋简体" w:eastAsia="方正仿宋简体" w:cs="仿宋_GB2312"/>
          <w:sz w:val="32"/>
          <w:szCs w:val="32"/>
          <w:lang w:bidi="ar"/>
        </w:rPr>
        <w:t>%，杠杆率6.61%。</w:t>
      </w:r>
    </w:p>
    <w:p>
      <w:pPr>
        <w:spacing w:line="578" w:lineRule="exact"/>
        <w:ind w:firstLine="640" w:firstLineChars="200"/>
        <w:rPr>
          <w:rFonts w:ascii="方正楷体简体" w:hAnsi="方正楷体简体" w:eastAsia="方正楷体简体" w:cs="仿宋_GB2312"/>
          <w:sz w:val="32"/>
          <w:szCs w:val="32"/>
          <w:lang w:bidi="ar"/>
        </w:rPr>
      </w:pPr>
      <w:r>
        <w:rPr>
          <w:rFonts w:hint="eastAsia" w:ascii="方正楷体简体" w:hAnsi="方正楷体简体" w:eastAsia="方正楷体简体" w:cs="仿宋_GB2312"/>
          <w:sz w:val="32"/>
          <w:szCs w:val="32"/>
          <w:lang w:bidi="ar"/>
        </w:rPr>
        <w:t>（二）对外投资情况</w:t>
      </w:r>
    </w:p>
    <w:p>
      <w:pPr>
        <w:spacing w:line="578" w:lineRule="exact"/>
        <w:ind w:firstLine="640" w:firstLineChars="200"/>
        <w:rPr>
          <w:rFonts w:hint="eastAsia" w:ascii="方正仿宋简体" w:hAnsi="方正仿宋简体" w:eastAsia="方正仿宋简体" w:cs="仿宋_GB2312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仿宋_GB2312"/>
          <w:sz w:val="32"/>
          <w:szCs w:val="32"/>
          <w:lang w:val="en-US" w:eastAsia="zh-CN" w:bidi="ar"/>
        </w:rPr>
        <w:t>截至2023年二季度末，辽沈银行主动股权投资均为吸收合并辽阳银行时并入，主动股权投资额度825.00万元。其中对中国银联股份有限公司投资800.00万元，占其股本比例0.27%；对城市商业银行清算中心投资25.00万元，占其股本比例 0.81%。</w:t>
      </w:r>
      <w:r>
        <w:rPr>
          <w:rFonts w:hint="eastAsia" w:ascii="方正仿宋简体" w:hAnsi="方正仿宋简体" w:eastAsia="方正仿宋简体" w:cs="仿宋_GB2312"/>
          <w:sz w:val="32"/>
          <w:szCs w:val="32"/>
          <w:lang w:bidi="ar"/>
        </w:rPr>
        <w:t>，已在核心资本中扣除。</w:t>
      </w:r>
    </w:p>
    <w:p>
      <w:pPr>
        <w:spacing w:line="578" w:lineRule="exact"/>
        <w:ind w:firstLine="640" w:firstLineChars="200"/>
        <w:rPr>
          <w:rFonts w:ascii="仿宋" w:hAnsi="仿宋" w:eastAsia="仿宋" w:cs="仿宋_GB2312"/>
          <w:sz w:val="32"/>
          <w:szCs w:val="32"/>
          <w:lang w:bidi="ar"/>
        </w:rPr>
      </w:pPr>
      <w:r>
        <w:rPr>
          <w:rFonts w:hint="eastAsia" w:ascii="方正楷体简体" w:hAnsi="方正楷体简体" w:eastAsia="方正楷体简体" w:cs="仿宋_GB2312"/>
          <w:sz w:val="32"/>
          <w:szCs w:val="32"/>
          <w:lang w:bidi="ar"/>
        </w:rPr>
        <w:t>（三）承接原两行发行资本工具情况</w:t>
      </w:r>
    </w:p>
    <w:p>
      <w:pPr>
        <w:spacing w:line="578" w:lineRule="exact"/>
        <w:ind w:firstLine="640" w:firstLineChars="200"/>
        <w:rPr>
          <w:rFonts w:ascii="方正仿宋简体" w:hAnsi="方正仿宋简体" w:eastAsia="方正仿宋简体" w:cs="仿宋_GB2312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仿宋_GB2312"/>
          <w:sz w:val="32"/>
          <w:szCs w:val="32"/>
          <w:lang w:bidi="ar"/>
        </w:rPr>
        <w:t>截至报告期末，本行</w:t>
      </w:r>
      <w:r>
        <w:rPr>
          <w:rFonts w:hint="eastAsia" w:ascii="方正仿宋简体" w:hAnsi="方正仿宋简体" w:eastAsia="方正仿宋简体" w:cs="仿宋_GB2312"/>
          <w:sz w:val="32"/>
          <w:szCs w:val="32"/>
          <w:lang w:val="en-US" w:eastAsia="zh-CN" w:bidi="ar"/>
        </w:rPr>
        <w:t>承接原辽阳银行</w:t>
      </w:r>
      <w:r>
        <w:rPr>
          <w:rFonts w:hint="eastAsia" w:ascii="方正仿宋简体" w:hAnsi="方正仿宋简体" w:eastAsia="方正仿宋简体" w:cs="仿宋_GB2312"/>
          <w:sz w:val="32"/>
          <w:szCs w:val="32"/>
          <w:lang w:bidi="ar"/>
        </w:rPr>
        <w:t>发行的存量二级资本工具余额15亿元，均为二级资本债，分别为：</w:t>
      </w:r>
    </w:p>
    <w:p>
      <w:pPr>
        <w:spacing w:line="578" w:lineRule="exact"/>
        <w:ind w:firstLine="640" w:firstLineChars="200"/>
        <w:rPr>
          <w:rFonts w:ascii="方正仿宋简体" w:hAnsi="方正仿宋简体" w:eastAsia="方正仿宋简体" w:cs="仿宋_GB2312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仿宋_GB2312"/>
          <w:sz w:val="32"/>
          <w:szCs w:val="32"/>
          <w:lang w:bidi="ar"/>
        </w:rPr>
        <w:t>1. 2018年11月15日，原辽阳银行在银行间市场公开发行了2018第一期二级资本债券10亿元。本期债券期限为10年（第5年末附发行人赎回权），票面利率6.00%。2022年11月16日，本行已严格按照监管规定完成利息支付及信息披露工作。</w:t>
      </w:r>
    </w:p>
    <w:p>
      <w:pPr>
        <w:spacing w:line="578" w:lineRule="exact"/>
        <w:ind w:firstLine="640" w:firstLineChars="200"/>
        <w:rPr>
          <w:rFonts w:ascii="方正仿宋简体" w:hAnsi="方正仿宋简体" w:eastAsia="方正仿宋简体" w:cs="仿宋_GB2312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仿宋_GB2312"/>
          <w:sz w:val="32"/>
          <w:szCs w:val="32"/>
          <w:lang w:bidi="ar"/>
        </w:rPr>
        <w:t>2.2019年4月19日，原辽阳银行在银行间市场公开发行了2019年第一期二级资本债券5亿元，10年期固定利率品种（第5年末附发行人赎回权），票面利率5.20%。2023年4月19日，本行已严格按照监管规定完成利息支付及信息披露工作。</w:t>
      </w:r>
    </w:p>
    <w:p>
      <w:pPr>
        <w:spacing w:line="578" w:lineRule="exact"/>
        <w:ind w:firstLine="640" w:firstLineChars="200"/>
        <w:rPr>
          <w:rFonts w:ascii="方正黑体简体" w:hAnsi="方正黑体简体" w:eastAsia="方正黑体简体" w:cs="黑体"/>
          <w:sz w:val="32"/>
          <w:szCs w:val="32"/>
          <w:lang w:bidi="ar"/>
        </w:rPr>
      </w:pPr>
      <w:r>
        <w:rPr>
          <w:rFonts w:hint="eastAsia" w:ascii="方正黑体简体" w:hAnsi="方正黑体简体" w:eastAsia="方正黑体简体" w:cs="黑体"/>
          <w:sz w:val="32"/>
          <w:szCs w:val="32"/>
          <w:lang w:bidi="ar"/>
        </w:rPr>
        <w:t>三、风险管理情况</w:t>
      </w:r>
    </w:p>
    <w:p>
      <w:pPr>
        <w:spacing w:line="578" w:lineRule="exact"/>
        <w:ind w:firstLine="640" w:firstLineChars="200"/>
        <w:rPr>
          <w:rFonts w:ascii="方正仿宋简体" w:hAnsi="方正仿宋简体" w:eastAsia="方正仿宋简体" w:cs="仿宋_GB2312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仿宋_GB2312"/>
          <w:sz w:val="32"/>
          <w:szCs w:val="32"/>
          <w:lang w:bidi="ar"/>
        </w:rPr>
        <w:t>本行坚持“全面、主动、合规、审慎、发展”的风险管理理念，构建了适当的全面风险管理架构。</w:t>
      </w:r>
    </w:p>
    <w:p>
      <w:pPr>
        <w:spacing w:line="578" w:lineRule="exact"/>
        <w:ind w:firstLine="640" w:firstLineChars="200"/>
        <w:rPr>
          <w:rFonts w:ascii="方正楷体简体" w:hAnsi="方正楷体简体" w:eastAsia="方正楷体简体" w:cs="仿宋_GB2312"/>
          <w:sz w:val="32"/>
          <w:szCs w:val="32"/>
          <w:lang w:bidi="ar"/>
        </w:rPr>
      </w:pPr>
      <w:r>
        <w:rPr>
          <w:rFonts w:hint="eastAsia" w:ascii="方正楷体简体" w:hAnsi="方正楷体简体" w:eastAsia="方正楷体简体" w:cs="仿宋_GB2312"/>
          <w:sz w:val="32"/>
          <w:szCs w:val="32"/>
          <w:lang w:bidi="ar"/>
        </w:rPr>
        <w:t>（一）全面风险管理体系概况</w:t>
      </w:r>
    </w:p>
    <w:p>
      <w:pPr>
        <w:spacing w:line="578" w:lineRule="exact"/>
        <w:ind w:firstLine="640" w:firstLineChars="200"/>
        <w:rPr>
          <w:rFonts w:ascii="方正仿宋简体" w:hAnsi="方正仿宋简体" w:eastAsia="方正仿宋简体" w:cs="仿宋_GB2312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仿宋_GB2312"/>
          <w:sz w:val="32"/>
          <w:szCs w:val="32"/>
          <w:lang w:bidi="ar"/>
        </w:rPr>
        <w:t>本行积极开展全面风险管理体系建设，制定下发了</w:t>
      </w:r>
      <w:r>
        <w:rPr>
          <w:rFonts w:hint="eastAsia" w:ascii="方正楷体简体" w:hAnsi="方正楷体简体" w:eastAsia="方正楷体简体" w:cs="仿宋_GB2312"/>
          <w:sz w:val="32"/>
          <w:szCs w:val="32"/>
          <w:lang w:bidi="ar"/>
        </w:rPr>
        <w:t>《</w:t>
      </w:r>
      <w:r>
        <w:rPr>
          <w:rFonts w:hint="eastAsia" w:ascii="方正仿宋简体" w:hAnsi="方正仿宋简体" w:eastAsia="方正仿宋简体" w:cs="仿宋_GB2312"/>
          <w:sz w:val="32"/>
          <w:szCs w:val="32"/>
          <w:lang w:bidi="ar"/>
        </w:rPr>
        <w:t>辽沈银行股份有限公司全面风险管理办法</w:t>
      </w:r>
      <w:r>
        <w:rPr>
          <w:rFonts w:hint="eastAsia" w:ascii="方正楷体简体" w:hAnsi="方正楷体简体" w:eastAsia="方正楷体简体" w:cs="仿宋_GB2312"/>
          <w:sz w:val="32"/>
          <w:szCs w:val="32"/>
          <w:lang w:bidi="ar"/>
        </w:rPr>
        <w:t>》</w:t>
      </w:r>
      <w:r>
        <w:rPr>
          <w:rFonts w:hint="eastAsia" w:ascii="方正仿宋简体" w:hAnsi="方正仿宋简体" w:eastAsia="方正仿宋简体" w:cs="仿宋_GB2312"/>
          <w:sz w:val="32"/>
          <w:szCs w:val="32"/>
          <w:lang w:bidi="ar"/>
        </w:rPr>
        <w:t>，明确董事会承担全面风险管理最终责任，为清晰准确识别风险，按照“9+X”模式对风险进行细化分类，明确各项风险管理职责，制定各类分类风险管理制度，初步建立了适应全面风险的管理架构及制度体系；制定《辽沈银行风险偏好陈述书》，以定量或定性方式明确总体偏好及各类风险偏好；风险管理部门及业务经营部门对所辖风险进行管控，将风险识别、评估、监测、控制等各项管理要求，渗透于各项业务、各种产品，贯穿于事前、事中、事后的整个过程。</w:t>
      </w:r>
    </w:p>
    <w:p>
      <w:pPr>
        <w:spacing w:line="578" w:lineRule="exact"/>
        <w:ind w:firstLine="640" w:firstLineChars="200"/>
        <w:rPr>
          <w:rFonts w:ascii="方正仿宋简体" w:hAnsi="方正仿宋简体" w:eastAsia="方正仿宋简体" w:cs="仿宋_GB2312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仿宋_GB2312"/>
          <w:sz w:val="32"/>
          <w:szCs w:val="32"/>
          <w:lang w:bidi="ar"/>
        </w:rPr>
        <w:t>本行建立了有效的风险管理架构，确立董事会是风险管理的最高决策机构，承担全面风险管理的最终责任，对全面风险管理工作的有效性负责；监事会定期对各项风险管理状况进行监督；高级管理层承担全面风险管理的实施责任，落实全面风险管理政策、程序和措施；总行各部门依据“三道防线”原则，确定业务部门与风险主管部门，其中风险管理部是本行全面风险管理的总体牵头部门，统筹协调全面风险日常管理，各专业风险管理部门分别对各类具体风险承担相应管理职责，实现全面风险管控“横向到边、纵向到底”。同时，通过积极制定覆盖全部主要风险的管理制度，明确全面风险管理报告路线，搭建新产品风险评估流程并实现将风险管理关口前移，构建业务连续性管理体系等，有效落实了全面风险管理的各项规定动作，强化风险管理执行效果。</w:t>
      </w:r>
    </w:p>
    <w:p>
      <w:pPr>
        <w:spacing w:line="578" w:lineRule="exact"/>
        <w:ind w:firstLine="640" w:firstLineChars="200"/>
        <w:rPr>
          <w:rFonts w:ascii="方正仿宋简体" w:hAnsi="方正仿宋简体" w:eastAsia="方正仿宋简体" w:cs="仿宋_GB2312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仿宋_GB2312"/>
          <w:sz w:val="32"/>
          <w:szCs w:val="32"/>
          <w:lang w:bidi="ar"/>
        </w:rPr>
        <w:t>本行已经全面实施新会计准则，按照预期信用损失法计提金融资产减值损失。</w:t>
      </w:r>
    </w:p>
    <w:p>
      <w:pPr>
        <w:spacing w:line="578" w:lineRule="exact"/>
        <w:ind w:firstLine="640" w:firstLineChars="200"/>
        <w:rPr>
          <w:rFonts w:ascii="方正楷体简体" w:hAnsi="方正楷体简体" w:eastAsia="方正楷体简体" w:cs="仿宋_GB2312"/>
          <w:sz w:val="32"/>
          <w:szCs w:val="32"/>
          <w:lang w:bidi="ar"/>
        </w:rPr>
      </w:pPr>
      <w:r>
        <w:rPr>
          <w:rFonts w:hint="eastAsia" w:ascii="方正楷体简体" w:hAnsi="方正楷体简体" w:eastAsia="方正楷体简体" w:cs="仿宋_GB2312"/>
          <w:sz w:val="32"/>
          <w:szCs w:val="32"/>
          <w:lang w:bidi="ar"/>
        </w:rPr>
        <w:t>（二）信用风险</w:t>
      </w:r>
    </w:p>
    <w:p>
      <w:pPr>
        <w:spacing w:line="578" w:lineRule="exact"/>
        <w:ind w:firstLine="640" w:firstLineChars="200"/>
        <w:rPr>
          <w:rFonts w:ascii="方正仿宋简体" w:hAnsi="方正仿宋简体" w:eastAsia="方正仿宋简体" w:cs="仿宋_GB2312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仿宋_GB2312"/>
          <w:sz w:val="32"/>
          <w:szCs w:val="32"/>
          <w:lang w:bidi="ar"/>
        </w:rPr>
        <w:t>本行将管控信用风险作为重中之重，一是强力管控资产质量，认真落实留存贷款的资产管理，对临期贷款和逾期贷款开展清单制管理，加强对不良贷款的清收化解，全年不良贷款率和逾期贷款率较年初实现“双降”。二是严格执行监管要求的风险分类政策，资产质量得到有效夯实。三是健全贷后管理体系，细化贷后各环节管理要求，积极开展多维度风险排查，针对不同风险客户采取不同管控措施。四是推进不良贷款风险化解，成立催收小组，落实了清收责任单位，制定一户一策化解方案，制定催收工作考核。五是将表外业务纳入信贷统一管理，以表内贷款客户的流程与标准，对银行承兑汇票业务、保函业务等表外业务客户进行管理。</w:t>
      </w:r>
    </w:p>
    <w:p>
      <w:pPr>
        <w:spacing w:line="578" w:lineRule="exact"/>
        <w:ind w:firstLine="640" w:firstLineChars="200"/>
        <w:rPr>
          <w:rFonts w:ascii="方正楷体简体" w:hAnsi="方正楷体简体" w:eastAsia="方正楷体简体" w:cs="仿宋_GB2312"/>
          <w:sz w:val="32"/>
          <w:szCs w:val="32"/>
          <w:lang w:bidi="ar"/>
        </w:rPr>
      </w:pPr>
      <w:r>
        <w:rPr>
          <w:rFonts w:hint="eastAsia" w:ascii="方正楷体简体" w:hAnsi="方正楷体简体" w:eastAsia="方正楷体简体" w:cs="仿宋_GB2312"/>
          <w:sz w:val="32"/>
          <w:szCs w:val="32"/>
          <w:lang w:bidi="ar"/>
        </w:rPr>
        <w:t>（三）市场风险</w:t>
      </w:r>
    </w:p>
    <w:p>
      <w:pPr>
        <w:spacing w:line="578" w:lineRule="exact"/>
        <w:ind w:firstLine="640" w:firstLineChars="200"/>
        <w:rPr>
          <w:rFonts w:ascii="方正仿宋简体" w:hAnsi="方正仿宋简体" w:eastAsia="方正仿宋简体" w:cs="仿宋_GB2312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仿宋_GB2312"/>
          <w:sz w:val="32"/>
          <w:szCs w:val="32"/>
          <w:lang w:bidi="ar"/>
        </w:rPr>
        <w:t>本行积极加强市场风险管理，一是坚持稳健的风险偏好，债券资产配置采用票息策略且以持有至到期为主，同业业务的交易对手主要为商业银行和国有资本背景，基金投资业务均为公募基金，不涉及股权投资。二是建立有效的市场风险管理体系，明确一、二、三道防线的管理边界，强化部门职责。三是落实各项管理动作，执行前中后台相分离政策，强化合规能力，加强业务数据与限额监测，加强业务审批和预警，建立重大风险预警与报告机制。</w:t>
      </w:r>
    </w:p>
    <w:p>
      <w:pPr>
        <w:spacing w:line="578" w:lineRule="exact"/>
        <w:ind w:firstLine="640" w:firstLineChars="200"/>
        <w:rPr>
          <w:rFonts w:ascii="仿宋" w:hAnsi="仿宋" w:eastAsia="仿宋" w:cs="黑体"/>
          <w:sz w:val="32"/>
          <w:szCs w:val="32"/>
          <w:highlight w:val="yellow"/>
          <w:lang w:bidi="ar"/>
        </w:rPr>
      </w:pPr>
      <w:r>
        <w:rPr>
          <w:rFonts w:hint="eastAsia" w:ascii="方正楷体简体" w:hAnsi="方正楷体简体" w:eastAsia="方正楷体简体" w:cs="仿宋_GB2312"/>
          <w:sz w:val="32"/>
          <w:szCs w:val="32"/>
          <w:lang w:bidi="ar"/>
        </w:rPr>
        <w:t>（四）操作风险</w:t>
      </w:r>
    </w:p>
    <w:p>
      <w:pPr>
        <w:spacing w:line="578" w:lineRule="exact"/>
        <w:ind w:firstLine="640" w:firstLineChars="200"/>
        <w:rPr>
          <w:rFonts w:ascii="方正仿宋简体" w:hAnsi="方正仿宋简体" w:eastAsia="方正仿宋简体" w:cs="仿宋_GB2312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仿宋_GB2312"/>
          <w:sz w:val="32"/>
          <w:szCs w:val="32"/>
          <w:lang w:bidi="ar"/>
        </w:rPr>
        <w:t>本行将操作风险管理纳入重要日程，搭建了有效的操作风险管理体系，一是定义了本行操作风险的范畴，划分了治理层、高级管理层和总、分行机构的清晰职责，形成了风险管理部牵头、多部门配合的操作风险管理架构。二是开展制度梳理、废止和回检工作，对照产品清单进行制度梳理，确保规章制度能够全面覆盖所开展业务。三是建设操作风险管理工具，制定了操作风险损失事件管理要求，明确了操作风险与控制自我评估流程并开展了首次自评估工作，全行操作风险整体管控有效。四是强化柜面业务的操作管控，上线集中授权系统以强化“机控”能力，开展运营领域专项检查与整改，加强柜面业务事后监督，进行账务科目的内外部排查等。五是强化合规内控体系建设与合规培训，建立员工行为管理架构，开展员工异常行为排查。</w:t>
      </w:r>
    </w:p>
    <w:p>
      <w:pPr>
        <w:spacing w:line="578" w:lineRule="exact"/>
        <w:ind w:firstLine="640" w:firstLineChars="200"/>
        <w:rPr>
          <w:rFonts w:ascii="方正仿宋简体" w:hAnsi="方正仿宋简体" w:eastAsia="方正仿宋简体" w:cs="仿宋_GB2312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仿宋_GB2312"/>
          <w:sz w:val="32"/>
          <w:szCs w:val="32"/>
          <w:lang w:bidi="ar"/>
        </w:rPr>
        <w:t>报告期内，本行无操作风险损失事件。</w:t>
      </w:r>
    </w:p>
    <w:p>
      <w:pPr>
        <w:spacing w:line="578" w:lineRule="exact"/>
        <w:ind w:firstLine="640" w:firstLineChars="200"/>
        <w:rPr>
          <w:rFonts w:ascii="方正楷体简体" w:hAnsi="方正楷体简体" w:eastAsia="方正楷体简体" w:cs="仿宋_GB2312"/>
          <w:sz w:val="32"/>
          <w:szCs w:val="32"/>
          <w:lang w:bidi="ar"/>
        </w:rPr>
      </w:pPr>
      <w:r>
        <w:rPr>
          <w:rFonts w:hint="eastAsia" w:ascii="方正楷体简体" w:hAnsi="方正楷体简体" w:eastAsia="方正楷体简体" w:cs="仿宋_GB2312"/>
          <w:sz w:val="32"/>
          <w:szCs w:val="32"/>
          <w:lang w:bidi="ar"/>
        </w:rPr>
        <w:t>（五）流动性风险</w:t>
      </w:r>
    </w:p>
    <w:p>
      <w:pPr>
        <w:spacing w:line="578" w:lineRule="exact"/>
        <w:ind w:firstLine="640" w:firstLineChars="200"/>
        <w:rPr>
          <w:rFonts w:ascii="方正仿宋简体" w:hAnsi="方正仿宋简体" w:eastAsia="方正仿宋简体" w:cs="仿宋_GB2312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仿宋_GB2312"/>
          <w:sz w:val="32"/>
          <w:szCs w:val="32"/>
          <w:lang w:bidi="ar"/>
        </w:rPr>
        <w:t>本行将解决流动性风险作为当前战略目标之一，一是建立流动性风险治理架构，明确治理层、高级管理层与总行部门在流动性风险管理中的作用、职责及报告路线。二是加强流动性风险制度建设，建立和完善流动性管理办法，制定应急预案并完成流动性应急演练。三是对流动性管理系统和头寸管理系统进行了优化和完善，对头寸系统进行功能优化和权限重新设置。</w:t>
      </w:r>
    </w:p>
    <w:p>
      <w:pPr>
        <w:spacing w:line="578" w:lineRule="exact"/>
        <w:ind w:firstLine="640" w:firstLineChars="200"/>
        <w:rPr>
          <w:rFonts w:ascii="方正楷体简体" w:hAnsi="方正楷体简体" w:eastAsia="方正楷体简体" w:cs="仿宋_GB2312"/>
          <w:sz w:val="32"/>
          <w:szCs w:val="32"/>
          <w:lang w:bidi="ar"/>
        </w:rPr>
      </w:pPr>
      <w:r>
        <w:rPr>
          <w:rFonts w:hint="eastAsia" w:ascii="方正楷体简体" w:hAnsi="方正楷体简体" w:eastAsia="方正楷体简体" w:cs="仿宋_GB2312"/>
          <w:sz w:val="32"/>
          <w:szCs w:val="32"/>
          <w:lang w:bidi="ar"/>
        </w:rPr>
        <w:t>（六）其他风险</w:t>
      </w:r>
    </w:p>
    <w:p>
      <w:pPr>
        <w:spacing w:line="578" w:lineRule="exact"/>
        <w:ind w:firstLine="640" w:firstLineChars="200"/>
        <w:rPr>
          <w:rFonts w:ascii="方正仿宋简体" w:hAnsi="方正仿宋简体" w:eastAsia="方正仿宋简体" w:cs="仿宋_GB2312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仿宋_GB2312"/>
          <w:sz w:val="32"/>
          <w:szCs w:val="32"/>
          <w:lang w:bidi="ar"/>
        </w:rPr>
        <w:t>本行全面风险管理9+</w:t>
      </w:r>
      <w:r>
        <w:rPr>
          <w:rFonts w:ascii="方正仿宋简体" w:hAnsi="方正仿宋简体" w:eastAsia="方正仿宋简体" w:cs="仿宋_GB2312"/>
          <w:sz w:val="32"/>
          <w:szCs w:val="32"/>
          <w:lang w:bidi="ar"/>
        </w:rPr>
        <w:t>X</w:t>
      </w:r>
      <w:r>
        <w:rPr>
          <w:rFonts w:hint="eastAsia" w:ascii="方正仿宋简体" w:hAnsi="方正仿宋简体" w:eastAsia="方正仿宋简体" w:cs="仿宋_GB2312"/>
          <w:sz w:val="32"/>
          <w:szCs w:val="32"/>
          <w:lang w:bidi="ar"/>
        </w:rPr>
        <w:t>体系下，其他风险包括但不限于声誉风险、战略风险、集中度风险、银行账簿利率风险、信息科技风险等，均开展了相应风险管理工作。</w:t>
      </w:r>
    </w:p>
    <w:p>
      <w:pPr>
        <w:spacing w:line="578" w:lineRule="exact"/>
        <w:ind w:firstLine="640" w:firstLineChars="200"/>
        <w:rPr>
          <w:rFonts w:ascii="黑体" w:hAnsi="黑体" w:eastAsia="黑体" w:cs="黑体"/>
          <w:sz w:val="32"/>
          <w:szCs w:val="32"/>
          <w:lang w:bidi="ar"/>
        </w:rPr>
      </w:pPr>
      <w:r>
        <w:rPr>
          <w:rFonts w:hint="eastAsia" w:ascii="方正黑体简体" w:hAnsi="方正黑体简体" w:eastAsia="方正黑体简体" w:cs="黑体"/>
          <w:sz w:val="32"/>
          <w:szCs w:val="32"/>
          <w:lang w:bidi="ar"/>
        </w:rPr>
        <w:t>四、资本充足内评情况</w:t>
      </w:r>
    </w:p>
    <w:p>
      <w:pPr>
        <w:spacing w:line="578" w:lineRule="exact"/>
        <w:ind w:firstLine="640" w:firstLineChars="200"/>
        <w:rPr>
          <w:rFonts w:ascii="方正楷体简体" w:hAnsi="方正楷体简体" w:eastAsia="方正楷体简体" w:cs="仿宋_GB2312"/>
          <w:sz w:val="32"/>
          <w:szCs w:val="32"/>
          <w:lang w:bidi="ar"/>
        </w:rPr>
      </w:pPr>
      <w:r>
        <w:rPr>
          <w:rFonts w:hint="eastAsia" w:ascii="方正楷体简体" w:hAnsi="方正楷体简体" w:eastAsia="方正楷体简体" w:cs="仿宋_GB2312"/>
          <w:sz w:val="32"/>
          <w:szCs w:val="32"/>
          <w:lang w:bidi="ar"/>
        </w:rPr>
        <w:t>（一）本行按照年度开展资本充足内评。</w:t>
      </w:r>
    </w:p>
    <w:p>
      <w:pPr>
        <w:spacing w:line="578" w:lineRule="exact"/>
        <w:ind w:firstLine="640" w:firstLineChars="200"/>
        <w:rPr>
          <w:rFonts w:ascii="方正仿宋简体" w:hAnsi="方正仿宋简体" w:eastAsia="方正仿宋简体" w:cs="仿宋_GB2312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仿宋_GB2312"/>
          <w:sz w:val="32"/>
          <w:szCs w:val="32"/>
          <w:lang w:bidi="ar"/>
        </w:rPr>
        <w:t>本行资本充足内评对资本管理体系和架构的有效性、风险管理情况及评估、资本规划执行和执行情况、压力情形下资本承压情况进行了评估。</w:t>
      </w:r>
    </w:p>
    <w:p>
      <w:pPr>
        <w:spacing w:line="578" w:lineRule="exact"/>
        <w:ind w:firstLine="640" w:firstLineChars="200"/>
        <w:rPr>
          <w:rFonts w:ascii="方正仿宋简体" w:hAnsi="方正仿宋简体" w:eastAsia="方正仿宋简体" w:cs="仿宋_GB2312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仿宋_GB2312"/>
          <w:sz w:val="32"/>
          <w:szCs w:val="32"/>
          <w:lang w:bidi="ar"/>
        </w:rPr>
        <w:t>经过评估，本行资本充足情况良好</w:t>
      </w:r>
      <w:r>
        <w:rPr>
          <w:rFonts w:ascii="方正仿宋简体" w:hAnsi="方正仿宋简体" w:eastAsia="方正仿宋简体" w:cs="仿宋_GB2312"/>
          <w:sz w:val="32"/>
          <w:szCs w:val="32"/>
          <w:lang w:bidi="ar"/>
        </w:rPr>
        <w:t>，</w:t>
      </w:r>
      <w:r>
        <w:rPr>
          <w:rFonts w:hint="eastAsia" w:ascii="方正仿宋简体" w:hAnsi="方正仿宋简体" w:eastAsia="方正仿宋简体" w:cs="仿宋_GB2312"/>
          <w:sz w:val="32"/>
          <w:szCs w:val="32"/>
          <w:lang w:bidi="ar"/>
        </w:rPr>
        <w:t>在各项冲击情景下均符合监管对资本充足率的要求</w:t>
      </w:r>
      <w:r>
        <w:rPr>
          <w:rFonts w:ascii="方正仿宋简体" w:hAnsi="方正仿宋简体" w:eastAsia="方正仿宋简体" w:cs="仿宋_GB2312"/>
          <w:sz w:val="32"/>
          <w:szCs w:val="32"/>
          <w:lang w:bidi="ar"/>
        </w:rPr>
        <w:t>。</w:t>
      </w:r>
    </w:p>
    <w:p>
      <w:pPr>
        <w:spacing w:line="578" w:lineRule="exact"/>
        <w:ind w:firstLine="640" w:firstLineChars="200"/>
        <w:rPr>
          <w:rFonts w:ascii="方正楷体简体" w:hAnsi="方正楷体简体" w:eastAsia="方正楷体简体" w:cs="仿宋_GB2312"/>
          <w:sz w:val="32"/>
          <w:szCs w:val="32"/>
          <w:lang w:bidi="ar"/>
        </w:rPr>
      </w:pPr>
      <w:r>
        <w:rPr>
          <w:rFonts w:hint="eastAsia" w:ascii="方正楷体简体" w:hAnsi="方正楷体简体" w:eastAsia="方正楷体简体" w:cs="仿宋_GB2312"/>
          <w:sz w:val="32"/>
          <w:szCs w:val="32"/>
          <w:lang w:bidi="ar"/>
        </w:rPr>
        <w:t>（二）本行按年滚动测算并制定《三年资本规划》对资本充足率管理目标、资本情况及补充机制、风险加权资产情况及管控进行预测和指导。</w:t>
      </w:r>
    </w:p>
    <w:p>
      <w:pPr>
        <w:spacing w:line="578" w:lineRule="exact"/>
        <w:ind w:firstLine="640" w:firstLineChars="200"/>
        <w:rPr>
          <w:rFonts w:ascii="方正仿宋简体" w:hAnsi="方正仿宋简体" w:eastAsia="方正仿宋简体" w:cs="仿宋_GB2312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仿宋_GB2312"/>
          <w:sz w:val="32"/>
          <w:szCs w:val="32"/>
          <w:lang w:bidi="ar"/>
        </w:rPr>
        <w:t>本行各级资本充足率最低要求及风险预警线</w:t>
      </w:r>
      <w:r>
        <w:rPr>
          <w:rFonts w:hint="eastAsia" w:ascii="方正仿宋简体" w:hAnsi="方正仿宋简体" w:eastAsia="方正仿宋简体" w:cs="仿宋_GB2312"/>
          <w:sz w:val="32"/>
          <w:szCs w:val="32"/>
          <w:lang w:val="en-US" w:eastAsia="zh-CN" w:bidi="ar"/>
        </w:rPr>
        <w:t>均高于银保监局设定的各级资本充足率最低要求标准</w:t>
      </w:r>
      <w:r>
        <w:rPr>
          <w:rFonts w:hint="eastAsia" w:ascii="方正仿宋简体" w:hAnsi="方正仿宋简体" w:eastAsia="方正仿宋简体" w:cs="仿宋_GB2312"/>
          <w:sz w:val="32"/>
          <w:szCs w:val="32"/>
          <w:lang w:bidi="ar"/>
        </w:rPr>
        <w:t>。</w:t>
      </w:r>
    </w:p>
    <w:p>
      <w:pPr>
        <w:spacing w:line="578" w:lineRule="exact"/>
        <w:ind w:firstLine="640" w:firstLineChars="200"/>
        <w:rPr>
          <w:rFonts w:ascii="方正仿宋简体" w:hAnsi="方正仿宋简体" w:eastAsia="方正仿宋简体" w:cs="仿宋_GB2312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仿宋_GB2312"/>
          <w:sz w:val="32"/>
          <w:szCs w:val="32"/>
          <w:lang w:bidi="ar"/>
        </w:rPr>
        <w:t>按照规划，三年规划期内资本充足率能够满足资本管理目标。</w:t>
      </w:r>
    </w:p>
    <w:p>
      <w:pPr>
        <w:spacing w:line="578" w:lineRule="exact"/>
        <w:ind w:firstLine="640" w:firstLineChars="200"/>
        <w:rPr>
          <w:rFonts w:ascii="方正黑体简体" w:hAnsi="方正黑体简体" w:eastAsia="方正黑体简体" w:cs="黑体"/>
          <w:sz w:val="32"/>
          <w:szCs w:val="32"/>
          <w:lang w:bidi="ar"/>
        </w:rPr>
      </w:pPr>
      <w:r>
        <w:rPr>
          <w:rFonts w:hint="eastAsia" w:ascii="方正黑体简体" w:hAnsi="方正黑体简体" w:eastAsia="方正黑体简体" w:cs="黑体"/>
          <w:sz w:val="32"/>
          <w:szCs w:val="32"/>
          <w:lang w:bidi="ar"/>
        </w:rPr>
        <w:t>五、薪酬管理情况</w:t>
      </w:r>
    </w:p>
    <w:p>
      <w:pPr>
        <w:spacing w:line="578" w:lineRule="exact"/>
        <w:ind w:firstLine="640" w:firstLineChars="200"/>
        <w:rPr>
          <w:rFonts w:ascii="方正仿宋简体" w:hAnsi="方正仿宋简体" w:eastAsia="方正仿宋简体" w:cs="仿宋_GB2312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仿宋_GB2312"/>
          <w:sz w:val="32"/>
          <w:szCs w:val="32"/>
          <w:lang w:bidi="ar"/>
        </w:rPr>
        <w:t>本行董事会设立薪酬与考核委员会，以有效和负责地审议有关薪酬制度和政策。监事会根据职能对薪酬管理制度实施情况及相关方案的科学性、合理性进行监督。高级管理层负责组织细化实施董事会薪酬管理方面的决议。</w:t>
      </w:r>
    </w:p>
    <w:p>
      <w:pPr>
        <w:spacing w:line="578" w:lineRule="exact"/>
        <w:ind w:firstLine="640" w:firstLineChars="200"/>
        <w:rPr>
          <w:rFonts w:ascii="方正仿宋简体" w:hAnsi="方正仿宋简体" w:eastAsia="方正仿宋简体" w:cs="仿宋_GB2312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仿宋_GB2312"/>
          <w:sz w:val="32"/>
          <w:szCs w:val="32"/>
          <w:lang w:bidi="ar"/>
        </w:rPr>
        <w:t>本行印发了《辽沈银行股份有限公司薪酬管理规定》《辽沈银行股份有限公司高级管理人员薪酬管理办法》《辽沈银行股份有限公司独立董事薪酬管理办法》《辽沈银行股份有限公司外部监事薪酬管理办法》等薪酬管理制度；</w:t>
      </w:r>
      <w:r>
        <w:rPr>
          <w:rFonts w:ascii="方正仿宋简体" w:hAnsi="方正仿宋简体" w:eastAsia="方正仿宋简体" w:cs="仿宋_GB2312"/>
          <w:sz w:val="32"/>
          <w:szCs w:val="32"/>
          <w:lang w:bidi="ar"/>
        </w:rPr>
        <w:t>建立了科学有效的绩效考核与分配体系，绩效考核制度及绩效薪酬分配规则公开透明</w:t>
      </w:r>
      <w:r>
        <w:rPr>
          <w:rFonts w:hint="eastAsia" w:ascii="方正仿宋简体" w:hAnsi="方正仿宋简体" w:eastAsia="方正仿宋简体" w:cs="仿宋_GB2312"/>
          <w:sz w:val="32"/>
          <w:szCs w:val="32"/>
          <w:lang w:bidi="ar"/>
        </w:rPr>
        <w:t>。对于从事业务经营管理的人员、对风险有重要影响的人员，以及承担风险控制与防范职责，从事业务经营和</w:t>
      </w:r>
      <w:r>
        <w:rPr>
          <w:rFonts w:ascii="方正仿宋简体" w:hAnsi="方正仿宋简体" w:eastAsia="方正仿宋简体" w:cs="仿宋_GB2312"/>
          <w:sz w:val="32"/>
          <w:szCs w:val="32"/>
          <w:lang w:bidi="ar"/>
        </w:rPr>
        <w:t>组织管理的人员</w:t>
      </w:r>
      <w:r>
        <w:rPr>
          <w:rFonts w:hint="eastAsia" w:ascii="方正仿宋简体" w:hAnsi="方正仿宋简体" w:eastAsia="方正仿宋简体" w:cs="仿宋_GB2312"/>
          <w:sz w:val="32"/>
          <w:szCs w:val="32"/>
          <w:lang w:bidi="ar"/>
        </w:rPr>
        <w:t>，按照规定执行薪酬延期支付政策。</w:t>
      </w:r>
    </w:p>
    <w:p>
      <w:pPr>
        <w:spacing w:line="578" w:lineRule="exact"/>
        <w:ind w:firstLine="640" w:firstLineChars="200"/>
        <w:rPr>
          <w:rFonts w:ascii="方正仿宋简体" w:hAnsi="方正仿宋简体" w:eastAsia="方正仿宋简体" w:cs="仿宋_GB2312"/>
          <w:sz w:val="32"/>
          <w:szCs w:val="32"/>
          <w:lang w:bidi="ar"/>
        </w:rPr>
      </w:pPr>
      <w:bookmarkStart w:id="0" w:name="_GoBack"/>
      <w:bookmarkEnd w:id="0"/>
    </w:p>
    <w:p>
      <w:pPr>
        <w:spacing w:line="578" w:lineRule="exact"/>
        <w:ind w:firstLine="640" w:firstLineChars="200"/>
        <w:rPr>
          <w:rFonts w:ascii="仿宋" w:hAnsi="仿宋" w:eastAsia="仿宋" w:cs="黑体"/>
          <w:sz w:val="32"/>
          <w:szCs w:val="32"/>
          <w:lang w:bidi="ar"/>
        </w:rPr>
      </w:pPr>
    </w:p>
    <w:p>
      <w:pPr>
        <w:spacing w:line="578" w:lineRule="exact"/>
        <w:ind w:firstLine="640" w:firstLineChars="200"/>
        <w:jc w:val="righ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bidi="ar"/>
        </w:rPr>
        <w:t>辽沈银行股份有限公司</w:t>
      </w:r>
    </w:p>
    <w:p>
      <w:pPr>
        <w:spacing w:line="578" w:lineRule="exact"/>
        <w:ind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bidi="ar"/>
        </w:rPr>
        <w:t>2023年07月2</w:t>
      </w:r>
      <w:r>
        <w:rPr>
          <w:rFonts w:hint="eastAsia" w:ascii="仿宋" w:hAnsi="仿宋" w:eastAsia="仿宋" w:cs="仿宋_GB2312"/>
          <w:sz w:val="32"/>
          <w:szCs w:val="32"/>
          <w:lang w:val="en-US" w:eastAsia="zh-CN" w:bidi="ar"/>
        </w:rPr>
        <w:t>6</w:t>
      </w:r>
      <w:r>
        <w:rPr>
          <w:rFonts w:hint="eastAsia" w:ascii="仿宋" w:hAnsi="仿宋" w:eastAsia="仿宋" w:cs="仿宋_GB2312"/>
          <w:sz w:val="32"/>
          <w:szCs w:val="32"/>
          <w:lang w:bidi="ar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JlYjk3YTk1OTYzMmVhMDJmOTAzYjI2MDM3MjNiMjMifQ=="/>
  </w:docVars>
  <w:rsids>
    <w:rsidRoot w:val="00645468"/>
    <w:rsid w:val="000A3626"/>
    <w:rsid w:val="000F0247"/>
    <w:rsid w:val="001A6CB6"/>
    <w:rsid w:val="003E02BF"/>
    <w:rsid w:val="00645468"/>
    <w:rsid w:val="007F1C2D"/>
    <w:rsid w:val="008A553D"/>
    <w:rsid w:val="00A04FFE"/>
    <w:rsid w:val="00A56D25"/>
    <w:rsid w:val="00BA26B6"/>
    <w:rsid w:val="00C63220"/>
    <w:rsid w:val="00D4465A"/>
    <w:rsid w:val="00F552DD"/>
    <w:rsid w:val="00F6185E"/>
    <w:rsid w:val="05BD78B3"/>
    <w:rsid w:val="12853C91"/>
    <w:rsid w:val="19DD154A"/>
    <w:rsid w:val="2C800B1D"/>
    <w:rsid w:val="2D3C541C"/>
    <w:rsid w:val="4D2D012D"/>
    <w:rsid w:val="5998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  <w:style w:type="paragraph" w:customStyle="1" w:styleId="5">
    <w:name w:val="Normal"/>
    <w:qFormat/>
    <w:uiPriority w:val="0"/>
    <w:pPr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546</Words>
  <Characters>3114</Characters>
  <Lines>25</Lines>
  <Paragraphs>7</Paragraphs>
  <TotalTime>1314</TotalTime>
  <ScaleCrop>false</ScaleCrop>
  <LinksUpToDate>false</LinksUpToDate>
  <CharactersWithSpaces>3653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2023-07-21T00:36:00Z</dcterms:created>
  <dc:creator>刘翦</dc:creator>
  <cp:lastModifiedBy> </cp:lastModifiedBy>
  <cp:lastPrinted>2023-07-24T06:36:00Z</cp:lastPrinted>
  <dcterms:modified xsi:type="dcterms:W3CDTF">2023-07-26T00:47:55Z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A6381F392C8544C2841BB6451B0B2121_13</vt:lpwstr>
  </property>
</Properties>
</file>