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辽沈银行股份有限公司2024年</w:t>
      </w:r>
      <w:r>
        <w:rPr>
          <w:rFonts w:hint="eastAsia" w:eastAsia="方正小标宋简体" w:cs="Times New Roman"/>
          <w:sz w:val="44"/>
          <w:szCs w:val="44"/>
          <w:lang w:val="en-US" w:eastAsia="zh-CN"/>
        </w:rPr>
        <w:t>三季</w:t>
      </w:r>
      <w:r>
        <w:rPr>
          <w:rFonts w:hint="default" w:ascii="Times New Roman" w:hAnsi="Times New Roman" w:eastAsia="方正小标宋简体" w:cs="Times New Roman"/>
          <w:sz w:val="44"/>
          <w:szCs w:val="44"/>
          <w:lang w:val="en-US" w:eastAsia="zh-CN"/>
        </w:rPr>
        <w:t>度</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第三支柱信息披露报告</w:t>
      </w:r>
    </w:p>
    <w:bookmarkEnd w:id="0"/>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sz w:val="30"/>
          <w:szCs w:val="30"/>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根据《商业银行资本管理办法》的规定（以下简称“办法”），</w:t>
      </w:r>
      <w:r>
        <w:rPr>
          <w:rFonts w:hint="default" w:ascii="Times New Roman" w:hAnsi="Times New Roman" w:eastAsia="方正仿宋" w:cs="Times New Roman"/>
          <w:sz w:val="32"/>
          <w:szCs w:val="32"/>
          <w:lang w:val="en-US" w:eastAsia="zh-CN"/>
        </w:rPr>
        <w:t>我行需</w:t>
      </w:r>
      <w:r>
        <w:rPr>
          <w:rFonts w:hint="default" w:ascii="Times New Roman" w:hAnsi="Times New Roman" w:eastAsia="方正仿宋" w:cs="Times New Roman"/>
          <w:sz w:val="32"/>
          <w:szCs w:val="32"/>
          <w:lang w:eastAsia="zh-CN"/>
        </w:rPr>
        <w:t>按照办法规定的并表范围</w:t>
      </w:r>
      <w:r>
        <w:rPr>
          <w:rFonts w:hint="default" w:ascii="Times New Roman" w:hAnsi="Times New Roman" w:eastAsia="方正仿宋" w:cs="Times New Roman"/>
          <w:sz w:val="32"/>
          <w:szCs w:val="32"/>
          <w:lang w:val="en-US" w:eastAsia="zh-CN"/>
        </w:rPr>
        <w:t>定期</w:t>
      </w:r>
      <w:r>
        <w:rPr>
          <w:rFonts w:hint="default" w:ascii="Times New Roman" w:hAnsi="Times New Roman" w:eastAsia="方正仿宋" w:cs="Times New Roman"/>
          <w:sz w:val="32"/>
          <w:szCs w:val="32"/>
          <w:lang w:eastAsia="zh-CN"/>
        </w:rPr>
        <w:t>披露相关信息，</w:t>
      </w:r>
      <w:r>
        <w:rPr>
          <w:rFonts w:hint="default" w:ascii="Times New Roman" w:hAnsi="Times New Roman" w:eastAsia="方正仿宋" w:cs="Times New Roman"/>
          <w:sz w:val="32"/>
          <w:szCs w:val="32"/>
          <w:lang w:val="en-US" w:eastAsia="zh-CN"/>
        </w:rPr>
        <w:t>我行</w:t>
      </w:r>
      <w:r>
        <w:rPr>
          <w:rFonts w:hint="default" w:ascii="Times New Roman" w:hAnsi="Times New Roman" w:eastAsia="方正仿宋" w:cs="Times New Roman"/>
          <w:sz w:val="32"/>
          <w:szCs w:val="32"/>
          <w:lang w:eastAsia="zh-CN"/>
        </w:rPr>
        <w:t>并表范围包括辽宁首山村镇银行股份有限公司、辽宁灯塔村镇银行股份有限公司、营口宏诚村镇银行股份有限公司。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lang w:eastAsia="zh-CN"/>
        </w:rPr>
      </w:pPr>
      <w:r>
        <w:rPr>
          <w:rFonts w:hint="eastAsia" w:eastAsia="方正仿宋" w:cs="Times New Roman"/>
          <w:sz w:val="32"/>
          <w:szCs w:val="32"/>
          <w:lang w:val="en-US" w:eastAsia="zh-CN"/>
        </w:rPr>
        <w:t>本季度</w:t>
      </w:r>
      <w:r>
        <w:rPr>
          <w:rFonts w:hint="default" w:ascii="Times New Roman" w:hAnsi="Times New Roman" w:eastAsia="方正仿宋" w:cs="Times New Roman"/>
          <w:sz w:val="32"/>
          <w:szCs w:val="32"/>
          <w:lang w:eastAsia="zh-CN"/>
        </w:rPr>
        <w:t>需披露的报表如下：</w:t>
      </w:r>
    </w:p>
    <w:p>
      <w:pPr>
        <w:keepNext w:val="0"/>
        <w:keepLines w:val="0"/>
        <w:pageBreakBefore w:val="0"/>
        <w:widowControl/>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仿宋" w:cs="Times New Roman"/>
          <w:b/>
          <w:bCs/>
          <w:sz w:val="32"/>
          <w:szCs w:val="32"/>
          <w:lang w:eastAsia="zh-CN"/>
        </w:rPr>
      </w:pPr>
      <w:r>
        <w:rPr>
          <w:rFonts w:hint="default" w:ascii="Times New Roman" w:hAnsi="Times New Roman" w:eastAsia="方正仿宋" w:cs="Times New Roman"/>
          <w:b/>
          <w:bCs/>
          <w:sz w:val="32"/>
          <w:szCs w:val="32"/>
          <w:lang w:eastAsia="zh-CN"/>
        </w:rPr>
        <w:t>KM1监管并表关键审慎监管指标</w:t>
      </w:r>
    </w:p>
    <w:p>
      <w:pPr>
        <w:spacing w:line="560" w:lineRule="exact"/>
        <w:ind w:firstLine="640" w:firstLineChars="200"/>
        <w:jc w:val="right"/>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单位：</w:t>
      </w:r>
      <w:r>
        <w:rPr>
          <w:rFonts w:hint="default" w:ascii="Times New Roman" w:hAnsi="Times New Roman" w:eastAsia="方正仿宋" w:cs="Times New Roman"/>
          <w:sz w:val="32"/>
          <w:szCs w:val="32"/>
          <w:lang w:val="en-US" w:eastAsia="zh-CN"/>
        </w:rPr>
        <w:t>人民币</w:t>
      </w:r>
      <w:r>
        <w:rPr>
          <w:rFonts w:hint="default" w:ascii="Times New Roman" w:hAnsi="Times New Roman" w:eastAsia="方正仿宋" w:cs="Times New Roman"/>
          <w:sz w:val="32"/>
          <w:szCs w:val="32"/>
          <w:lang w:eastAsia="zh-CN"/>
        </w:rPr>
        <w:t>百万元</w:t>
      </w:r>
      <w:r>
        <w:rPr>
          <w:rFonts w:hint="default" w:ascii="Times New Roman" w:hAnsi="Times New Roman" w:eastAsia="方正仿宋" w:cs="Times New Roman"/>
          <w:sz w:val="32"/>
          <w:szCs w:val="32"/>
          <w:lang w:val="en-US" w:eastAsia="zh-CN"/>
        </w:rPr>
        <w:t>，百分比除外</w:t>
      </w:r>
    </w:p>
    <w:tbl>
      <w:tblPr>
        <w:tblStyle w:val="16"/>
        <w:tblW w:w="1099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770"/>
        <w:gridCol w:w="2140"/>
        <w:gridCol w:w="2190"/>
        <w:gridCol w:w="22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67" w:type="dxa"/>
            <w:gridSpan w:val="2"/>
            <w:vMerge w:val="restart"/>
            <w:tcBorders>
              <w:top w:val="dotted" w:color="auto" w:sz="4" w:space="0"/>
              <w:left w:val="dotted" w:color="auto" w:sz="0" w:space="0"/>
              <w:right w:val="dotted"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i w:val="0"/>
                <w:color w:val="000000"/>
                <w:kern w:val="0"/>
                <w:sz w:val="28"/>
                <w:szCs w:val="28"/>
                <w:u w:val="none"/>
                <w:lang w:val="en-US" w:eastAsia="zh-CN" w:bidi="ar"/>
              </w:rPr>
              <w:t>项目</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a</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b</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eastAsia" w:eastAsia="方正仿宋" w:cs="Times New Roman"/>
                <w:b/>
                <w:bCs/>
                <w:color w:val="000000" w:themeColor="text1"/>
                <w:sz w:val="24"/>
                <w:szCs w:val="24"/>
                <w:lang w:val="en-US" w:eastAsia="zh-CN"/>
                <w14:textFill>
                  <w14:solidFill>
                    <w14:schemeClr w14:val="tx1"/>
                  </w14:solidFill>
                </w14:textFill>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7" w:type="dxa"/>
            <w:gridSpan w:val="2"/>
            <w:vMerge w:val="continue"/>
            <w:tcBorders>
              <w:left w:val="dotted" w:color="auto" w:sz="0"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eastAsia="方正仿宋"/>
                <w:b/>
                <w:bCs/>
                <w:color w:val="000000" w:themeColor="text1"/>
                <w:lang w:eastAsia="zh-CN"/>
                <w14:textFill>
                  <w14:solidFill>
                    <w14:schemeClr w14:val="tx1"/>
                  </w14:solidFill>
                </w14:textFill>
              </w:rPr>
              <w:t>2024年</w:t>
            </w:r>
            <w:r>
              <w:rPr>
                <w:rFonts w:hint="eastAsia" w:eastAsia="方正仿宋"/>
                <w:b/>
                <w:bCs/>
                <w:color w:val="000000" w:themeColor="text1"/>
                <w:lang w:eastAsia="zh-CN"/>
                <w14:textFill>
                  <w14:solidFill>
                    <w14:schemeClr w14:val="tx1"/>
                  </w14:solidFill>
                </w14:textFill>
              </w:rPr>
              <w:t>9</w:t>
            </w:r>
            <w:r>
              <w:rPr>
                <w:rFonts w:eastAsia="方正仿宋"/>
                <w:b/>
                <w:bCs/>
                <w:color w:val="000000" w:themeColor="text1"/>
                <w:lang w:eastAsia="zh-CN"/>
                <w14:textFill>
                  <w14:solidFill>
                    <w14:schemeClr w14:val="tx1"/>
                  </w14:solidFill>
                </w14:textFill>
              </w:rPr>
              <w:t>月30日</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2024年6月30日</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2024年3月31日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b/>
                <w:bCs/>
                <w:color w:val="000000" w:themeColor="text1"/>
                <w:sz w:val="28"/>
                <w:szCs w:val="28"/>
                <w14:textFill>
                  <w14:solidFill>
                    <w14:schemeClr w14:val="tx1"/>
                  </w14:solidFill>
                </w14:textFill>
              </w:rPr>
              <w:t>可用资本（</w:t>
            </w: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数</w:t>
            </w:r>
            <w:r>
              <w:rPr>
                <w:rFonts w:hint="default" w:ascii="Times New Roman" w:hAnsi="Times New Roman" w:eastAsia="方正仿宋" w:cs="Times New Roman"/>
                <w:b/>
                <w:bCs/>
                <w:color w:val="000000" w:themeColor="text1"/>
                <w:sz w:val="28"/>
                <w:szCs w:val="28"/>
                <w14:textFill>
                  <w14:solidFill>
                    <w14:schemeClr w14:val="tx1"/>
                  </w14:solidFill>
                </w14:textFill>
              </w:rPr>
              <w:t>额）</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核心一级资本净额</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15328.12</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15851.39</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15199.16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2</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一级资本</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净额</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15328.15</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15851.42</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15199.16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3</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资本</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净额</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16381.22</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16884.19</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16835.36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风险加权资产（数额）</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4</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风险加权资产</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91324.86</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88790.73</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92067.86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资本充足率</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5</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核心一级资本充足率（%）</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16.78%</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6</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一级资本充足率（%）</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16.78%</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7</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资本充足率（%）</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17.94%</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19.02%</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18.29%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其他各级资本要求</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8</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储备资本要求（%）</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eastAsia="方正仿宋"/>
                <w:color w:val="000000" w:themeColor="text1"/>
                <w:sz w:val="28"/>
                <w:szCs w:val="28"/>
                <w:lang w:eastAsia="zh-CN"/>
                <w14:textFill>
                  <w14:solidFill>
                    <w14:schemeClr w14:val="tx1"/>
                  </w14:solidFill>
                </w14:textFill>
              </w:rPr>
              <w:t>2.5%</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9</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逆周期资本要求（%）</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eastAsia="方正仿宋"/>
                <w:color w:val="000000" w:themeColor="text1"/>
                <w:sz w:val="28"/>
                <w:szCs w:val="28"/>
                <w:lang w:eastAsia="zh-CN"/>
                <w14:textFill>
                  <w14:solidFill>
                    <w14:schemeClr w14:val="tx1"/>
                  </w14:solidFill>
                </w14:textFill>
              </w:rPr>
              <w:t>0</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10</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全球系统重要性银行或国内系统重要性银行附加资本要求（%）</w:t>
            </w:r>
          </w:p>
        </w:tc>
        <w:tc>
          <w:tcPr>
            <w:tcW w:w="2140" w:type="dxa"/>
            <w:tcBorders>
              <w:top w:val="dotted" w:color="auto" w:sz="4" w:space="0"/>
              <w:left w:val="dotted" w:color="auto" w:sz="4" w:space="0"/>
              <w:bottom w:val="dotted" w:color="auto" w:sz="4" w:space="0"/>
              <w:right w:val="dotted" w:color="auto" w:sz="4" w:space="0"/>
            </w:tcBorders>
            <w:shd w:val="clear" w:color="auto" w:fill="BEBEBE" w:themeFill="background1" w:themeFillShade="BF"/>
            <w:vAlign w:val="center"/>
          </w:tcPr>
          <w:p>
            <w:pPr>
              <w:snapToGrid w:val="0"/>
              <w:spacing w:line="480" w:lineRule="exact"/>
              <w:jc w:val="center"/>
              <w:rPr>
                <w:rFonts w:hint="default" w:ascii="Times New Roman" w:hAnsi="Times New Roman" w:eastAsia="方正仿宋" w:cs="Times New Roman"/>
                <w:color w:val="000000" w:themeColor="text1"/>
                <w:sz w:val="28"/>
                <w:szCs w:val="28"/>
                <w:highlight w:val="none"/>
                <w:lang w:eastAsia="zh-CN"/>
                <w14:textFill>
                  <w14:solidFill>
                    <w14:schemeClr w14:val="tx1"/>
                  </w14:solidFill>
                </w14:textFill>
              </w:rPr>
            </w:pPr>
          </w:p>
        </w:tc>
        <w:tc>
          <w:tcPr>
            <w:tcW w:w="2190" w:type="dxa"/>
            <w:tcBorders>
              <w:top w:val="dotted" w:color="auto" w:sz="4" w:space="0"/>
              <w:left w:val="dotted" w:color="auto" w:sz="4" w:space="0"/>
              <w:bottom w:val="dotted" w:color="auto" w:sz="4" w:space="0"/>
              <w:right w:val="dotted" w:color="auto" w:sz="0" w:space="0"/>
            </w:tcBorders>
            <w:shd w:val="clear" w:color="auto" w:fill="BEBEBE" w:themeFill="background1" w:themeFillShade="BF"/>
            <w:vAlign w:val="center"/>
          </w:tcPr>
          <w:p>
            <w:pPr>
              <w:snapToGrid w:val="0"/>
              <w:spacing w:line="480" w:lineRule="exact"/>
              <w:jc w:val="center"/>
              <w:rPr>
                <w:rFonts w:hint="default" w:ascii="Times New Roman" w:hAnsi="Times New Roman" w:eastAsia="方正仿宋" w:cs="Times New Roman"/>
                <w:color w:val="000000" w:themeColor="text1"/>
                <w:sz w:val="28"/>
                <w:szCs w:val="28"/>
                <w:highlight w:val="none"/>
                <w:lang w:eastAsia="zh-CN"/>
                <w14:textFill>
                  <w14:solidFill>
                    <w14:schemeClr w14:val="tx1"/>
                  </w14:solidFill>
                </w14:textFill>
              </w:rPr>
            </w:pPr>
          </w:p>
        </w:tc>
        <w:tc>
          <w:tcPr>
            <w:tcW w:w="2200" w:type="dxa"/>
            <w:tcBorders>
              <w:top w:val="dotted" w:color="auto" w:sz="4" w:space="0"/>
              <w:left w:val="dotted" w:color="auto" w:sz="4" w:space="0"/>
              <w:bottom w:val="dotted" w:color="auto" w:sz="4" w:space="0"/>
              <w:right w:val="dotted" w:color="auto" w:sz="0" w:space="0"/>
            </w:tcBorders>
            <w:shd w:val="clear" w:color="auto" w:fill="BEBEBE" w:themeFill="background1" w:themeFillShade="BF"/>
            <w:vAlign w:val="center"/>
          </w:tcPr>
          <w:p>
            <w:pPr>
              <w:snapToGrid w:val="0"/>
              <w:spacing w:line="480" w:lineRule="exact"/>
              <w:jc w:val="center"/>
              <w:rPr>
                <w:rFonts w:hint="default" w:ascii="Times New Roman" w:hAnsi="Times New Roman" w:eastAsia="方正仿宋" w:cs="Times New Roman"/>
                <w:color w:val="000000" w:themeColor="text1"/>
                <w:sz w:val="28"/>
                <w:szCs w:val="28"/>
                <w:highlight w:val="no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11</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其他各级资本要求（%）（8+9+10）</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eastAsia="方正仿宋"/>
                <w:color w:val="000000" w:themeColor="text1"/>
                <w:sz w:val="28"/>
                <w:szCs w:val="28"/>
                <w:lang w:eastAsia="zh-CN"/>
                <w14:textFill>
                  <w14:solidFill>
                    <w14:schemeClr w14:val="tx1"/>
                  </w14:solidFill>
                </w14:textFill>
              </w:rPr>
              <w:t>2.5%</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12</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满足最低资本要求后的可用核心一级资本净额占风险加权资产的比例（%）</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val="en-US" w:eastAsia="zh-CN"/>
                <w14:textFill>
                  <w14:solidFill>
                    <w14:schemeClr w14:val="tx1"/>
                  </w14:solidFill>
                </w14:textFill>
              </w:rPr>
              <w:t>6</w:t>
            </w:r>
            <w:r>
              <w:rPr>
                <w:rFonts w:hint="eastAsia" w:eastAsia="方正仿宋"/>
                <w:color w:val="000000" w:themeColor="text1"/>
                <w:sz w:val="28"/>
                <w:szCs w:val="28"/>
                <w:lang w:eastAsia="zh-CN"/>
                <w14:textFill>
                  <w14:solidFill>
                    <w14:schemeClr w14:val="tx1"/>
                  </w14:solidFill>
                </w14:textFill>
              </w:rPr>
              <w:t>.28%</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7.35%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杠杆率</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13</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调整后表内外资产余额</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227757.79</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213915.56</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224764.02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14</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杠杆率（%）</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6.41%</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7.1%</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14a</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杠杆率a（%）</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6.41%</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7.1%</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流动性覆盖率</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15</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合格优质流动性资产</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18718.05</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15675.48</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17851.14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16</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现金净流出</w:t>
            </w:r>
            <w:r>
              <w:rPr>
                <w:rFonts w:hint="default" w:ascii="Times New Roman" w:hAnsi="Times New Roman" w:eastAsia="方正仿宋" w:cs="Times New Roman"/>
                <w:color w:val="000000" w:themeColor="text1"/>
                <w:sz w:val="28"/>
                <w:szCs w:val="28"/>
                <w:lang w:eastAsia="zh-CN"/>
                <w14:textFill>
                  <w14:solidFill>
                    <w14:schemeClr w14:val="tx1"/>
                  </w14:solidFill>
                </w14:textFill>
              </w:rPr>
              <w:t>量</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val="en-US"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8</w:t>
            </w:r>
            <w:r>
              <w:rPr>
                <w:rFonts w:hint="eastAsia" w:eastAsia="方正仿宋"/>
                <w:color w:val="000000" w:themeColor="text1"/>
                <w:sz w:val="28"/>
                <w:szCs w:val="28"/>
                <w:lang w:val="en-US" w:eastAsia="zh-CN"/>
                <w14:textFill>
                  <w14:solidFill>
                    <w14:schemeClr w14:val="tx1"/>
                  </w14:solidFill>
                </w14:textFill>
              </w:rPr>
              <w:t>848.60</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1513.59</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2334.99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17</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流动性覆盖率（%）</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2</w:t>
            </w:r>
            <w:r>
              <w:rPr>
                <w:rFonts w:hint="eastAsia" w:eastAsia="方正仿宋"/>
                <w:color w:val="000000" w:themeColor="text1"/>
                <w:sz w:val="28"/>
                <w:szCs w:val="28"/>
                <w:lang w:val="en-US" w:eastAsia="zh-CN"/>
                <w14:textFill>
                  <w14:solidFill>
                    <w14:schemeClr w14:val="tx1"/>
                  </w14:solidFill>
                </w14:textFill>
              </w:rPr>
              <w:t>11.54</w:t>
            </w:r>
            <w:r>
              <w:rPr>
                <w:rFonts w:hint="eastAsia" w:eastAsia="方正仿宋"/>
                <w:color w:val="000000" w:themeColor="text1"/>
                <w:sz w:val="28"/>
                <w:szCs w:val="28"/>
                <w:lang w:eastAsia="zh-CN"/>
                <w14:textFill>
                  <w14:solidFill>
                    <w14:schemeClr w14:val="tx1"/>
                  </w14:solidFill>
                </w14:textFill>
              </w:rPr>
              <w:t>%</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1035.65%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763.51%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净稳定资金比例</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18</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可用稳定资金</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合计</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201511.76</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209054.23</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204680.76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19</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所需</w:t>
            </w:r>
            <w:r>
              <w:rPr>
                <w:rFonts w:hint="default" w:ascii="Times New Roman" w:hAnsi="Times New Roman" w:eastAsia="方正仿宋" w:cs="Times New Roman"/>
                <w:color w:val="000000" w:themeColor="text1"/>
                <w:sz w:val="28"/>
                <w:szCs w:val="28"/>
                <w14:textFill>
                  <w14:solidFill>
                    <w14:schemeClr w14:val="tx1"/>
                  </w14:solidFill>
                </w14:textFill>
              </w:rPr>
              <w:t>稳定资金</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合计</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162239.31</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159722.48</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155775.47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20</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净稳定资金比例（%）</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124.21%</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130.89%</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131.39%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7"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流动性比例</w:t>
            </w:r>
          </w:p>
        </w:tc>
        <w:tc>
          <w:tcPr>
            <w:tcW w:w="2200" w:type="dxa"/>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7"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21</w:t>
            </w:r>
          </w:p>
        </w:tc>
        <w:tc>
          <w:tcPr>
            <w:tcW w:w="377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流动性比例（%）</w:t>
            </w:r>
          </w:p>
        </w:tc>
        <w:tc>
          <w:tcPr>
            <w:tcW w:w="2140"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olor w:val="000000" w:themeColor="text1"/>
                <w:sz w:val="28"/>
                <w:szCs w:val="28"/>
                <w:lang w:eastAsia="zh-CN"/>
                <w14:textFill>
                  <w14:solidFill>
                    <w14:schemeClr w14:val="tx1"/>
                  </w14:solidFill>
                </w14:textFill>
              </w:rPr>
              <w:t>71.58%</w:t>
            </w:r>
          </w:p>
        </w:tc>
        <w:tc>
          <w:tcPr>
            <w:tcW w:w="219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53.65%</w:t>
            </w:r>
          </w:p>
        </w:tc>
        <w:tc>
          <w:tcPr>
            <w:tcW w:w="2200"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62.42%</w:t>
            </w:r>
          </w:p>
        </w:tc>
      </w:tr>
    </w:tbl>
    <w:p>
      <w:pPr>
        <w:rPr>
          <w:rFonts w:hint="default" w:ascii="Times New Roman" w:hAnsi="Times New Roman" w:eastAsia="仿宋" w:cs="Times New Roman"/>
          <w:sz w:val="30"/>
          <w:szCs w:val="30"/>
          <w:lang w:eastAsia="zh-CN"/>
        </w:rPr>
      </w:pPr>
    </w:p>
    <w:sectPr>
      <w:footerReference r:id="rId5" w:type="default"/>
      <w:pgSz w:w="11906" w:h="16838"/>
      <w:pgMar w:top="2098" w:right="1474" w:bottom="1984" w:left="1587"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
    <w:panose1 w:val="02000500000000000000"/>
    <w:charset w:val="86"/>
    <w:family w:val="auto"/>
    <w:pitch w:val="default"/>
    <w:sig w:usb0="A00002BF" w:usb1="5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8B"/>
    <w:rsid w:val="00037D8B"/>
    <w:rsid w:val="000F2299"/>
    <w:rsid w:val="000F76C8"/>
    <w:rsid w:val="001157EB"/>
    <w:rsid w:val="0012549D"/>
    <w:rsid w:val="00345F6F"/>
    <w:rsid w:val="00423E3A"/>
    <w:rsid w:val="00447133"/>
    <w:rsid w:val="00493FE4"/>
    <w:rsid w:val="004A4D5A"/>
    <w:rsid w:val="004D13D1"/>
    <w:rsid w:val="00562A6E"/>
    <w:rsid w:val="005D43E2"/>
    <w:rsid w:val="005F2015"/>
    <w:rsid w:val="0073094F"/>
    <w:rsid w:val="00794F18"/>
    <w:rsid w:val="00886743"/>
    <w:rsid w:val="008B22F2"/>
    <w:rsid w:val="008D4BF8"/>
    <w:rsid w:val="008D4D58"/>
    <w:rsid w:val="008F4B1F"/>
    <w:rsid w:val="00912681"/>
    <w:rsid w:val="009264F1"/>
    <w:rsid w:val="009D7ECD"/>
    <w:rsid w:val="009E20D1"/>
    <w:rsid w:val="00A14342"/>
    <w:rsid w:val="00A60831"/>
    <w:rsid w:val="00A960B3"/>
    <w:rsid w:val="00B26FCE"/>
    <w:rsid w:val="00BE261C"/>
    <w:rsid w:val="00C63C33"/>
    <w:rsid w:val="00C912C9"/>
    <w:rsid w:val="00FB6577"/>
    <w:rsid w:val="02D011EA"/>
    <w:rsid w:val="02D603EE"/>
    <w:rsid w:val="07CA1C1D"/>
    <w:rsid w:val="111C0964"/>
    <w:rsid w:val="18A17A6F"/>
    <w:rsid w:val="1E7A39FF"/>
    <w:rsid w:val="1F114D50"/>
    <w:rsid w:val="292A5C4F"/>
    <w:rsid w:val="294B31E5"/>
    <w:rsid w:val="2F372EE8"/>
    <w:rsid w:val="35D20537"/>
    <w:rsid w:val="3BE74E50"/>
    <w:rsid w:val="3E8166DB"/>
    <w:rsid w:val="460F6B27"/>
    <w:rsid w:val="464333AA"/>
    <w:rsid w:val="47F2775E"/>
    <w:rsid w:val="509F11A1"/>
    <w:rsid w:val="50C64592"/>
    <w:rsid w:val="5B477993"/>
    <w:rsid w:val="69BA3FC1"/>
    <w:rsid w:val="6AED1B3E"/>
    <w:rsid w:val="72F13F2E"/>
    <w:rsid w:val="78ED7155"/>
    <w:rsid w:val="7E3D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kern w:val="0"/>
      <w:sz w:val="24"/>
      <w:szCs w:val="24"/>
      <w:lang w:val="en-US" w:eastAsia="en-US" w:bidi="ar-SA"/>
      <w14:ligatures w14:val="none"/>
    </w:rPr>
  </w:style>
  <w:style w:type="paragraph" w:styleId="2">
    <w:name w:val="heading 1"/>
    <w:basedOn w:val="1"/>
    <w:next w:val="1"/>
    <w:link w:val="18"/>
    <w:qFormat/>
    <w:uiPriority w:val="9"/>
    <w:pPr>
      <w:keepNext/>
      <w:keepLines/>
      <w:widowControl w:val="0"/>
      <w:spacing w:before="480" w:after="80" w:line="278" w:lineRule="auto"/>
      <w:outlineLvl w:val="0"/>
    </w:pPr>
    <w:rPr>
      <w:rFonts w:asciiTheme="majorHAnsi" w:hAnsiTheme="majorHAnsi" w:eastAsiaTheme="majorEastAsia" w:cstheme="majorBidi"/>
      <w:color w:val="104862" w:themeColor="accent1" w:themeShade="BF"/>
      <w:kern w:val="2"/>
      <w:sz w:val="48"/>
      <w:szCs w:val="48"/>
      <w:lang w:eastAsia="zh-CN"/>
      <w14:ligatures w14:val="standardContextual"/>
    </w:rPr>
  </w:style>
  <w:style w:type="paragraph" w:styleId="3">
    <w:name w:val="heading 2"/>
    <w:basedOn w:val="1"/>
    <w:next w:val="1"/>
    <w:link w:val="19"/>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104862" w:themeColor="accent1" w:themeShade="BF"/>
      <w:kern w:val="2"/>
      <w:sz w:val="40"/>
      <w:szCs w:val="40"/>
      <w:lang w:eastAsia="zh-CN"/>
      <w14:ligatures w14:val="standardContextual"/>
    </w:rPr>
  </w:style>
  <w:style w:type="paragraph" w:styleId="4">
    <w:name w:val="heading 3"/>
    <w:basedOn w:val="1"/>
    <w:next w:val="1"/>
    <w:link w:val="20"/>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104862" w:themeColor="accent1" w:themeShade="BF"/>
      <w:kern w:val="2"/>
      <w:sz w:val="32"/>
      <w:szCs w:val="32"/>
      <w:lang w:eastAsia="zh-CN"/>
      <w14:ligatures w14:val="standardContextual"/>
    </w:rPr>
  </w:style>
  <w:style w:type="paragraph" w:styleId="5">
    <w:name w:val="heading 4"/>
    <w:basedOn w:val="1"/>
    <w:next w:val="1"/>
    <w:link w:val="21"/>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104862" w:themeColor="accent1" w:themeShade="BF"/>
      <w:kern w:val="2"/>
      <w:sz w:val="28"/>
      <w:szCs w:val="28"/>
      <w:lang w:eastAsia="zh-CN"/>
      <w14:ligatures w14:val="standardContextual"/>
    </w:rPr>
  </w:style>
  <w:style w:type="paragraph" w:styleId="6">
    <w:name w:val="heading 5"/>
    <w:basedOn w:val="1"/>
    <w:next w:val="1"/>
    <w:link w:val="22"/>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104862" w:themeColor="accent1" w:themeShade="BF"/>
      <w:kern w:val="2"/>
      <w:lang w:eastAsia="zh-CN"/>
      <w14:ligatures w14:val="standardContextual"/>
    </w:rPr>
  </w:style>
  <w:style w:type="paragraph" w:styleId="7">
    <w:name w:val="heading 6"/>
    <w:basedOn w:val="1"/>
    <w:next w:val="1"/>
    <w:link w:val="23"/>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104862" w:themeColor="accent1" w:themeShade="BF"/>
      <w:kern w:val="2"/>
      <w:sz w:val="22"/>
      <w:lang w:eastAsia="zh-CN"/>
      <w14:ligatures w14:val="standardContextual"/>
    </w:rPr>
  </w:style>
  <w:style w:type="paragraph" w:styleId="8">
    <w:name w:val="heading 7"/>
    <w:basedOn w:val="1"/>
    <w:next w:val="1"/>
    <w:link w:val="24"/>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7"/>
    <w:unhideWhenUsed/>
    <w:qFormat/>
    <w:uiPriority w:val="99"/>
    <w:pPr>
      <w:widowControl w:val="0"/>
      <w:tabs>
        <w:tab w:val="center" w:pos="4153"/>
        <w:tab w:val="right" w:pos="8306"/>
      </w:tabs>
      <w:snapToGrid w:val="0"/>
      <w:spacing w:after="160"/>
    </w:pPr>
    <w:rPr>
      <w:rFonts w:asciiTheme="minorHAnsi" w:hAnsiTheme="minorHAnsi" w:eastAsiaTheme="minorEastAsia" w:cstheme="minorBidi"/>
      <w:kern w:val="2"/>
      <w:sz w:val="18"/>
      <w:szCs w:val="18"/>
      <w:lang w:eastAsia="zh-CN"/>
      <w14:ligatures w14:val="standardContextual"/>
    </w:rPr>
  </w:style>
  <w:style w:type="paragraph" w:styleId="13">
    <w:name w:val="header"/>
    <w:basedOn w:val="1"/>
    <w:link w:val="36"/>
    <w:unhideWhenUsed/>
    <w:qFormat/>
    <w:uiPriority w:val="99"/>
    <w:pPr>
      <w:widowControl w:val="0"/>
      <w:tabs>
        <w:tab w:val="center" w:pos="4153"/>
        <w:tab w:val="right" w:pos="8306"/>
      </w:tabs>
      <w:snapToGrid w:val="0"/>
      <w:spacing w:after="160"/>
      <w:jc w:val="center"/>
    </w:pPr>
    <w:rPr>
      <w:rFonts w:asciiTheme="minorHAnsi" w:hAnsiTheme="minorHAnsi" w:eastAsiaTheme="minorEastAsia" w:cstheme="minorBidi"/>
      <w:kern w:val="2"/>
      <w:sz w:val="18"/>
      <w:szCs w:val="18"/>
      <w:lang w:eastAsia="zh-CN"/>
      <w14:ligatures w14:val="standardContextual"/>
    </w:rPr>
  </w:style>
  <w:style w:type="paragraph" w:styleId="14">
    <w:name w:val="Subtitle"/>
    <w:basedOn w:val="1"/>
    <w:next w:val="1"/>
    <w:link w:val="28"/>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lang w:eastAsia="zh-CN"/>
      <w14:textFill>
        <w14:solidFill>
          <w14:schemeClr w14:val="tx1">
            <w14:lumMod w14:val="65000"/>
            <w14:lumOff w14:val="35000"/>
          </w14:schemeClr>
        </w14:solidFill>
      </w14:textFill>
      <w14:ligatures w14:val="standardContextual"/>
    </w:rPr>
  </w:style>
  <w:style w:type="paragraph" w:styleId="15">
    <w:name w:val="Title"/>
    <w:basedOn w:val="1"/>
    <w:next w:val="1"/>
    <w:link w:val="27"/>
    <w:qFormat/>
    <w:uiPriority w:val="10"/>
    <w:pPr>
      <w:widowControl w:val="0"/>
      <w:spacing w:after="80"/>
      <w:contextualSpacing/>
      <w:jc w:val="center"/>
    </w:pPr>
    <w:rPr>
      <w:rFonts w:asciiTheme="majorHAnsi" w:hAnsiTheme="majorHAnsi" w:eastAsiaTheme="majorEastAsia" w:cstheme="majorBidi"/>
      <w:spacing w:val="-10"/>
      <w:kern w:val="28"/>
      <w:sz w:val="56"/>
      <w:szCs w:val="56"/>
      <w:lang w:eastAsia="zh-CN"/>
      <w14:ligatures w14:val="standardContextual"/>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lang w:eastAsia="zh-CN"/>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widowControl w:val="0"/>
      <w:spacing w:after="160" w:line="278" w:lineRule="auto"/>
      <w:ind w:left="720"/>
      <w:contextualSpacing/>
    </w:pPr>
    <w:rPr>
      <w:rFonts w:asciiTheme="minorHAnsi" w:hAnsiTheme="minorHAnsi" w:eastAsiaTheme="minorEastAsia" w:cstheme="minorBidi"/>
      <w:kern w:val="2"/>
      <w:sz w:val="22"/>
      <w:lang w:eastAsia="zh-CN"/>
      <w14:ligatures w14:val="standardContextual"/>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widowControl w:val="0"/>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kern w:val="2"/>
      <w:sz w:val="22"/>
      <w:lang w:eastAsia="zh-CN"/>
      <w14:ligatures w14:val="standardContextual"/>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Words>
  <Characters>2736</Characters>
  <Lines>22</Lines>
  <Paragraphs>6</Paragraphs>
  <TotalTime>20</TotalTime>
  <ScaleCrop>false</ScaleCrop>
  <LinksUpToDate>false</LinksUpToDate>
  <CharactersWithSpaces>3210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2024-04-25T02:38:00Z</dcterms:created>
  <dc:creator>杨森</dc:creator>
  <cp:lastModifiedBy> </cp:lastModifiedBy>
  <cp:lastPrinted>2024-10-22T03:32:00Z</cp:lastPrinted>
  <dcterms:modified xsi:type="dcterms:W3CDTF">2024-10-31T01:31:03Z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E754FBA40F3C4ADE870F0CF98D53D146</vt:lpwstr>
  </property>
</Properties>
</file>